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西南交通大学关于</w:t>
      </w:r>
      <w:r>
        <w:rPr>
          <w:rFonts w:ascii="黑体" w:hAnsi="宋体" w:eastAsia="黑体" w:cs="宋体"/>
          <w:b/>
          <w:kern w:val="0"/>
          <w:sz w:val="36"/>
          <w:szCs w:val="36"/>
        </w:rPr>
        <w:t>2015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度公开招聘应聘人员情况</w:t>
      </w:r>
      <w:r>
        <w:rPr>
          <w:rFonts w:ascii="黑体" w:hAnsi="Times New Roman" w:eastAsia="黑体" w:cs="Times New Roman"/>
          <w:b/>
          <w:sz w:val="36"/>
          <w:szCs w:val="36"/>
        </w:rPr>
        <w:t xml:space="preserve"> 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聘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人：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default" w:ascii="Arial" w:hAnsi="Arial" w:cs="Arial"/>
          <w:b/>
          <w:sz w:val="28"/>
          <w:szCs w:val="28"/>
          <w:u w:val="single"/>
          <w:lang w:eastAsia="zh-CN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Arial" w:hAnsi="Arial" w:cs="Arial"/>
          <w:b/>
          <w:sz w:val="28"/>
          <w:szCs w:val="28"/>
          <w:u w:val="single"/>
          <w:lang w:eastAsia="zh-CN"/>
        </w:rPr>
        <w:t>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应聘岗位：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cs="Times New Roman"/>
          <w:b/>
          <w:sz w:val="28"/>
          <w:szCs w:val="28"/>
          <w:u w:val="single"/>
          <w:lang w:eastAsia="zh-CN"/>
        </w:rPr>
        <w:t>教师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u w:val="single"/>
          <w:lang w:eastAsia="zh-CN"/>
        </w:rPr>
        <w:t>艺术与传播学院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应聘单位负责人签章</w:t>
      </w:r>
      <w:r>
        <w:rPr>
          <w:rFonts w:ascii="Times New Roman" w:hAnsi="Times New Roman" w:eastAsia="宋体" w:cs="Times New Roman"/>
          <w:b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、基本情况</w:t>
      </w:r>
    </w:p>
    <w:tbl>
      <w:tblPr>
        <w:tblStyle w:val="6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22"/>
        <w:gridCol w:w="1386"/>
        <w:gridCol w:w="1872"/>
        <w:gridCol w:w="138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性别</w:t>
            </w:r>
          </w:p>
        </w:tc>
        <w:tc>
          <w:tcPr>
            <w:tcW w:w="202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国籍</w:t>
            </w:r>
          </w:p>
        </w:tc>
        <w:tc>
          <w:tcPr>
            <w:tcW w:w="187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籍贯</w:t>
            </w:r>
          </w:p>
        </w:tc>
        <w:tc>
          <w:tcPr>
            <w:tcW w:w="162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eastAsia="zh-CN"/>
              </w:rPr>
              <w:t>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现任专业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技术职务</w:t>
            </w:r>
          </w:p>
        </w:tc>
        <w:tc>
          <w:tcPr>
            <w:tcW w:w="202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助教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任职时间</w:t>
            </w:r>
          </w:p>
        </w:tc>
        <w:tc>
          <w:tcPr>
            <w:tcW w:w="187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val="en-US" w:eastAsia="zh-CN"/>
              </w:rPr>
              <w:t>201206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出生年月</w:t>
            </w:r>
          </w:p>
        </w:tc>
        <w:tc>
          <w:tcPr>
            <w:tcW w:w="162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/>
              </w:rPr>
              <w:t>198409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现工作单位或人事关系所在部门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成都师范学院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最后学位</w:t>
            </w:r>
          </w:p>
        </w:tc>
        <w:tc>
          <w:tcPr>
            <w:tcW w:w="202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博士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授予学位单位</w:t>
            </w:r>
          </w:p>
        </w:tc>
        <w:tc>
          <w:tcPr>
            <w:tcW w:w="187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四川大学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最后学习阶段导师</w:t>
            </w:r>
          </w:p>
        </w:tc>
        <w:tc>
          <w:tcPr>
            <w:tcW w:w="162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国内外主要学术及社会兼职</w:t>
            </w:r>
          </w:p>
        </w:tc>
        <w:tc>
          <w:tcPr>
            <w:tcW w:w="5280" w:type="dxa"/>
            <w:gridSpan w:val="3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成都市文艺评论家协会会员</w:t>
            </w:r>
          </w:p>
        </w:tc>
        <w:tc>
          <w:tcPr>
            <w:tcW w:w="1386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从事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</w:rPr>
              <w:t>专业</w:t>
            </w:r>
          </w:p>
        </w:tc>
        <w:tc>
          <w:tcPr>
            <w:tcW w:w="162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0"/>
                <w:szCs w:val="20"/>
                <w:lang w:eastAsia="zh-CN"/>
              </w:rPr>
              <w:t>设计学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8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主要学术成绩、创新成果及评价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（限800字以内）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spacing w:before="0" w:beforeAutospacing="0" w:after="0" w:afterAutospacing="0"/>
              <w:ind w:left="0" w:right="0" w:firstLine="420" w:firstLineChars="200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eastAsia="zh-CN"/>
              </w:rPr>
              <w:t>主研省部级科研项目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1项，主持省部级科研项目2项。</w:t>
            </w:r>
          </w:p>
          <w:p>
            <w:pP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  <w:t>将设计研究纳入到文化研究的体系中，长期专注于中国传统工艺设计、中国传统装饰纹样及思想、传统图像的现代转换等问题的研究与探索；提出了使用图像学、符号学、人类学等研究方法进行设计史及设计风格研究的方法。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leftChars="200" w:right="0"/>
              <w:jc w:val="left"/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firstLine="400" w:firstLineChars="200"/>
              <w:jc w:val="left"/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  <w:t>关注中国近现代设计的发展问题，博士学位论文以1933年出版的《商标汇刊》为中心，对其中所收录的晚清至民国时期（1904—1933）的商标设计进行了系统研究。论文将晚清至民国商标设计作为考窥近代中国社会的重要“视觉文本”资源，讨论了其图像内容和形式特征中所呈现出的社会因素，填补了近现代平面设计史相关问题研究的空白。</w:t>
            </w:r>
          </w:p>
          <w:p>
            <w:pPr>
              <w:widowControl w:val="0"/>
              <w:numPr>
                <w:numId w:val="0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0" w:leftChars="200" w:right="0"/>
              <w:jc w:val="left"/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kern w:val="0"/>
                <w:sz w:val="20"/>
                <w:szCs w:val="20"/>
                <w:lang w:val="en-US" w:eastAsia="zh-CN" w:bidi="ar-SA"/>
              </w:rPr>
              <w:t xml:space="preserve">    3.关注中国民间工艺美术的传承与保护等问题，使用建立数字资源库的方法，对传统民间美术资料进行分类整理，并对其进行专题研究，对于传承与保护民间美术具有良好意义。</w:t>
            </w:r>
          </w:p>
          <w:p>
            <w:pPr>
              <w:spacing w:before="0" w:beforeAutospacing="0" w:after="0" w:afterAutospacing="0"/>
              <w:ind w:left="0" w:right="0" w:firstLine="400" w:firstLineChars="200"/>
              <w:jc w:val="left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  <w:p>
            <w:pPr>
              <w:spacing w:before="0" w:beforeAutospacing="0" w:after="0" w:afterAutospacing="0"/>
              <w:ind w:left="0" w:right="0" w:firstLine="300" w:firstLineChars="150"/>
              <w:jc w:val="left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宋体" w:hAnsi="宋体" w:eastAsia="宋体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明确：第一作者或通信作者论文：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CSSCI期刊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篇；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eastAsia="zh-CN"/>
              </w:rPr>
              <w:t>中文核心期刊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篇；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/>
              </w:rPr>
              <w:t>EI收录期刊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</w:rPr>
              <w:t>篇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eastAsia="zh-CN"/>
              </w:rPr>
              <w:t>；专著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u w:val="single"/>
              </w:rPr>
              <w:t>　</w:t>
            </w: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eastAsia="zh-CN"/>
              </w:rPr>
              <w:t>本。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kern w:val="2"/>
                <w:sz w:val="21"/>
                <w:szCs w:val="24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color w:val="000000"/>
                <w:kern w:val="2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、学习经历</w:t>
      </w:r>
    </w:p>
    <w:tbl>
      <w:tblPr>
        <w:tblStyle w:val="6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24"/>
        <w:gridCol w:w="1801"/>
        <w:gridCol w:w="2024"/>
        <w:gridCol w:w="17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学历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学位</w:t>
            </w:r>
          </w:p>
        </w:tc>
        <w:tc>
          <w:tcPr>
            <w:tcW w:w="22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所学专业</w:t>
            </w:r>
          </w:p>
        </w:tc>
        <w:tc>
          <w:tcPr>
            <w:tcW w:w="177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导师</w:t>
            </w:r>
          </w:p>
        </w:tc>
        <w:tc>
          <w:tcPr>
            <w:tcW w:w="14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本科</w:t>
            </w:r>
          </w:p>
        </w:tc>
        <w:tc>
          <w:tcPr>
            <w:tcW w:w="22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200703-200906</w:t>
            </w:r>
          </w:p>
        </w:tc>
        <w:tc>
          <w:tcPr>
            <w:tcW w:w="180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四川美术学院</w:t>
            </w:r>
          </w:p>
        </w:tc>
        <w:tc>
          <w:tcPr>
            <w:tcW w:w="20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影视动画</w:t>
            </w:r>
          </w:p>
        </w:tc>
        <w:tc>
          <w:tcPr>
            <w:tcW w:w="177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硕士</w:t>
            </w:r>
          </w:p>
        </w:tc>
        <w:tc>
          <w:tcPr>
            <w:tcW w:w="22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200909-201206</w:t>
            </w:r>
          </w:p>
        </w:tc>
        <w:tc>
          <w:tcPr>
            <w:tcW w:w="180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湖南工业大学</w:t>
            </w:r>
          </w:p>
        </w:tc>
        <w:tc>
          <w:tcPr>
            <w:tcW w:w="20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视觉传达设计</w:t>
            </w:r>
          </w:p>
        </w:tc>
        <w:tc>
          <w:tcPr>
            <w:tcW w:w="177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</w:t>
            </w:r>
          </w:p>
        </w:tc>
        <w:tc>
          <w:tcPr>
            <w:tcW w:w="14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博士</w:t>
            </w:r>
          </w:p>
        </w:tc>
        <w:tc>
          <w:tcPr>
            <w:tcW w:w="22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201209-201506</w:t>
            </w:r>
          </w:p>
        </w:tc>
        <w:tc>
          <w:tcPr>
            <w:tcW w:w="180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四川大学</w:t>
            </w:r>
          </w:p>
        </w:tc>
        <w:tc>
          <w:tcPr>
            <w:tcW w:w="202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设计学</w:t>
            </w:r>
          </w:p>
        </w:tc>
        <w:tc>
          <w:tcPr>
            <w:tcW w:w="177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全日制</w:t>
            </w:r>
          </w:p>
        </w:tc>
      </w:tr>
    </w:tbl>
    <w:p>
      <w:pPr>
        <w:spacing w:line="360" w:lineRule="auto"/>
        <w:ind w:left="239" w:leftChars="114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、工作经历</w:t>
      </w:r>
    </w:p>
    <w:tbl>
      <w:tblPr>
        <w:tblStyle w:val="6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3399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98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起止时间</w:t>
            </w:r>
          </w:p>
        </w:tc>
        <w:tc>
          <w:tcPr>
            <w:tcW w:w="33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职位名称</w:t>
            </w:r>
          </w:p>
        </w:tc>
        <w:tc>
          <w:tcPr>
            <w:tcW w:w="3397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3398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201206-至今</w:t>
            </w:r>
          </w:p>
        </w:tc>
        <w:tc>
          <w:tcPr>
            <w:tcW w:w="339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3397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成都师范学院</w:t>
            </w:r>
          </w:p>
        </w:tc>
      </w:tr>
    </w:tbl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、论文情况（</w:t>
      </w:r>
      <w:r>
        <w:rPr>
          <w:rFonts w:ascii="宋体" w:hAnsi="宋体" w:eastAsia="宋体" w:cs="Times New Roman"/>
          <w:b/>
          <w:szCs w:val="24"/>
        </w:rPr>
        <w:t>5</w:t>
      </w:r>
      <w:r>
        <w:rPr>
          <w:rFonts w:hint="eastAsia" w:ascii="宋体" w:hAnsi="宋体" w:eastAsia="宋体" w:cs="Times New Roman"/>
          <w:b/>
          <w:szCs w:val="24"/>
        </w:rPr>
        <w:t>篇以内代表性论文）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：</w:t>
      </w:r>
    </w:p>
    <w:tbl>
      <w:tblPr>
        <w:tblStyle w:val="6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894"/>
        <w:gridCol w:w="1065"/>
        <w:gridCol w:w="900"/>
        <w:gridCol w:w="630"/>
        <w:gridCol w:w="1110"/>
        <w:gridCol w:w="660"/>
        <w:gridCol w:w="1050"/>
        <w:gridCol w:w="649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序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号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题目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发表刊物或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出版单位名称</w:t>
            </w: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年度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期号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作者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排名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第一作者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单位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刊物性质及期刊号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论文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分区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（学术期刊分级A++ 等，SCI?区</w:t>
            </w: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期刊类别影响因子及排序</w:t>
            </w: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0"/>
                <w:szCs w:val="20"/>
              </w:rPr>
              <w:t>他人引用次数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探究罗伯特·劳申伯格的“混合艺术”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艺术百家</w:t>
            </w: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2012.8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第一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四川大学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CSSCI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Children's Green Ware Design Evaluation based on Fuzzy Hierarchy Analysis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SDEA 2014会议论文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集</w:t>
            </w:r>
          </w:p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2014.10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第一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四川大学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EI收录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明代与文艺复兴时期植物纹样审美特征对比分析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四川戏剧</w:t>
            </w: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2014.09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第一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成都师范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中文核心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从“功能至上”到“日常生活审美化”——后现代设计的观念转换以及其表现形式探析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设计</w:t>
            </w: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2014.11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第一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成都师范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89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也谈传统图形在现代设计中应用和转换</w:t>
            </w:r>
          </w:p>
        </w:tc>
        <w:tc>
          <w:tcPr>
            <w:tcW w:w="106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艺海</w:t>
            </w:r>
          </w:p>
        </w:tc>
        <w:tc>
          <w:tcPr>
            <w:tcW w:w="90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2014.11</w:t>
            </w:r>
          </w:p>
        </w:tc>
        <w:tc>
          <w:tcPr>
            <w:tcW w:w="63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第一</w:t>
            </w:r>
          </w:p>
        </w:tc>
        <w:tc>
          <w:tcPr>
            <w:tcW w:w="111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成都师范</w:t>
            </w:r>
          </w:p>
        </w:tc>
        <w:tc>
          <w:tcPr>
            <w:tcW w:w="6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105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49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、科研项目</w:t>
      </w:r>
      <w:r>
        <w:rPr>
          <w:rFonts w:ascii="Times New Roman" w:hAnsi="Times New Roman" w:eastAsia="宋体" w:cs="Times New Roman"/>
          <w:b/>
          <w:sz w:val="24"/>
          <w:szCs w:val="24"/>
        </w:rPr>
        <w:t> :</w:t>
      </w:r>
    </w:p>
    <w:tbl>
      <w:tblPr>
        <w:tblStyle w:val="6"/>
        <w:tblW w:w="10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742"/>
        <w:gridCol w:w="2400"/>
        <w:gridCol w:w="86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742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0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866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参与状况（排序）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2014.5</w:t>
            </w:r>
          </w:p>
        </w:tc>
        <w:tc>
          <w:tcPr>
            <w:tcW w:w="3742" w:type="dxa"/>
            <w:vAlign w:val="top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both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西南地区民间美术的传承与教学体系建构</w:t>
            </w:r>
          </w:p>
        </w:tc>
        <w:tc>
          <w:tcPr>
            <w:tcW w:w="2400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教育部项目</w:t>
            </w:r>
          </w:p>
        </w:tc>
        <w:tc>
          <w:tcPr>
            <w:tcW w:w="866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8万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第一主研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2014.5</w:t>
            </w:r>
          </w:p>
        </w:tc>
        <w:tc>
          <w:tcPr>
            <w:tcW w:w="3742" w:type="dxa"/>
            <w:vAlign w:val="top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羌族民间工艺美术数字资源库建设研究</w:t>
            </w:r>
          </w:p>
        </w:tc>
        <w:tc>
          <w:tcPr>
            <w:tcW w:w="2400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羌学文化中心课题</w:t>
            </w:r>
          </w:p>
        </w:tc>
        <w:tc>
          <w:tcPr>
            <w:tcW w:w="866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0.5万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center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2014.5</w:t>
            </w:r>
          </w:p>
        </w:tc>
        <w:tc>
          <w:tcPr>
            <w:tcW w:w="3742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文化与产品的融合：在白酒包装中融入</w:t>
            </w:r>
          </w:p>
          <w:p>
            <w:pPr>
              <w:widowControl w:val="0"/>
              <w:wordWrap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文化元素的实践研究—以泸州老窖为例</w:t>
            </w:r>
          </w:p>
        </w:tc>
        <w:tc>
          <w:tcPr>
            <w:tcW w:w="2400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川酒国际文化传播中心</w:t>
            </w:r>
          </w:p>
        </w:tc>
        <w:tc>
          <w:tcPr>
            <w:tcW w:w="866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0.6万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主持人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、出版专著</w:t>
      </w:r>
    </w:p>
    <w:tbl>
      <w:tblPr>
        <w:tblStyle w:val="6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1251"/>
        <w:gridCol w:w="2079"/>
        <w:gridCol w:w="1251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著作名称</w:t>
            </w:r>
          </w:p>
        </w:tc>
        <w:tc>
          <w:tcPr>
            <w:tcW w:w="125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作者</w:t>
            </w:r>
          </w:p>
        </w:tc>
        <w:tc>
          <w:tcPr>
            <w:tcW w:w="20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出版社</w:t>
            </w:r>
          </w:p>
        </w:tc>
        <w:tc>
          <w:tcPr>
            <w:tcW w:w="125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出版年份</w:t>
            </w:r>
          </w:p>
        </w:tc>
        <w:tc>
          <w:tcPr>
            <w:tcW w:w="1775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  <w:t>ISBN</w:t>
            </w: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秦汉时期朱雀艺术符号研究</w:t>
            </w: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第一作者</w:t>
            </w:r>
          </w:p>
        </w:tc>
        <w:tc>
          <w:tcPr>
            <w:tcW w:w="2079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eastAsia="zh-CN"/>
              </w:rPr>
              <w:t>四川美术出版社</w:t>
            </w: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2015.6</w:t>
            </w:r>
          </w:p>
        </w:tc>
        <w:tc>
          <w:tcPr>
            <w:tcW w:w="1775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38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2079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75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、专利情况</w:t>
      </w:r>
    </w:p>
    <w:tbl>
      <w:tblPr>
        <w:tblStyle w:val="6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179"/>
        <w:gridCol w:w="1664"/>
        <w:gridCol w:w="1251"/>
        <w:gridCol w:w="1251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专利类别</w:t>
            </w:r>
          </w:p>
        </w:tc>
        <w:tc>
          <w:tcPr>
            <w:tcW w:w="3179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专利名称</w:t>
            </w:r>
          </w:p>
        </w:tc>
        <w:tc>
          <w:tcPr>
            <w:tcW w:w="1664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专利所有人</w:t>
            </w:r>
          </w:p>
        </w:tc>
        <w:tc>
          <w:tcPr>
            <w:tcW w:w="125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授权时间</w:t>
            </w:r>
          </w:p>
        </w:tc>
        <w:tc>
          <w:tcPr>
            <w:tcW w:w="1251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授权国别</w:t>
            </w:r>
          </w:p>
        </w:tc>
        <w:tc>
          <w:tcPr>
            <w:tcW w:w="1767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、获奖情况：</w:t>
      </w:r>
    </w:p>
    <w:tbl>
      <w:tblPr>
        <w:tblStyle w:val="6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583"/>
        <w:gridCol w:w="4260"/>
        <w:gridCol w:w="10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524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583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426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1070" w:type="dxa"/>
            <w:vAlign w:val="top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524" w:type="dxa"/>
            <w:vAlign w:val="center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2014.6</w:t>
            </w:r>
          </w:p>
        </w:tc>
        <w:tc>
          <w:tcPr>
            <w:tcW w:w="3583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论文《秦汉时期朱雀艺术符号研究》</w:t>
            </w:r>
          </w:p>
        </w:tc>
        <w:tc>
          <w:tcPr>
            <w:tcW w:w="4260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湖南省教育厅颁发“湖南省优秀硕士论文”</w:t>
            </w:r>
          </w:p>
        </w:tc>
        <w:tc>
          <w:tcPr>
            <w:tcW w:w="1070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独立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>
            <w:pP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2014.10</w:t>
            </w:r>
          </w:p>
        </w:tc>
        <w:tc>
          <w:tcPr>
            <w:tcW w:w="358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论文《从“图案”到“艺术设计”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——中国现代设计教育学科内涵的发展与演变概述》</w:t>
            </w:r>
          </w:p>
        </w:tc>
        <w:tc>
          <w:tcPr>
            <w:tcW w:w="426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四川省大学生艺术节教师组论文“三等奖”</w:t>
            </w:r>
          </w:p>
        </w:tc>
        <w:tc>
          <w:tcPr>
            <w:tcW w:w="1070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独立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2014.12</w:t>
            </w:r>
          </w:p>
        </w:tc>
        <w:tc>
          <w:tcPr>
            <w:tcW w:w="3583" w:type="dxa"/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/>
              </w:rPr>
              <w:t>论文：《明代与文艺复兴时期植物纹样审美特征对比分析》以及《从“功能至上”到“日常生活审美化”——后现代设计的观念转换以及其表现形式探析》</w:t>
            </w:r>
          </w:p>
        </w:tc>
        <w:tc>
          <w:tcPr>
            <w:tcW w:w="4260" w:type="dxa"/>
            <w:vAlign w:val="center"/>
          </w:tcPr>
          <w:p>
            <w:pPr>
              <w:tabs>
                <w:tab w:val="left" w:pos="8158"/>
              </w:tabs>
              <w:spacing w:before="0" w:beforeAutospacing="0" w:after="0" w:afterAutospacing="0"/>
              <w:ind w:left="0" w:right="317" w:rightChars="151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分获：第三届中国高等院校设计艺术大赛论文“二等奖”及“优秀奖”</w:t>
            </w:r>
          </w:p>
        </w:tc>
        <w:tc>
          <w:tcPr>
            <w:tcW w:w="1070" w:type="dxa"/>
            <w:vAlign w:val="center"/>
          </w:tcPr>
          <w:p>
            <w:pPr>
              <w:spacing w:before="0" w:beforeAutospacing="0" w:after="0" w:afterAutospacing="0"/>
              <w:ind w:left="0" w:right="101" w:rightChars="48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>独立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（注意表格内字体：宋体</w:t>
      </w:r>
      <w:r>
        <w:rPr>
          <w:rFonts w:ascii="Times New Roman" w:hAnsi="Times New Roman" w:eastAsia="宋体" w:cs="Times New Roman"/>
          <w:b/>
          <w:sz w:val="24"/>
          <w:szCs w:val="24"/>
          <w:highlight w:val="yellow"/>
        </w:rPr>
        <w:t xml:space="preserve"> 10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号）</w:t>
      </w: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4" w:type="default"/>
      <w:footerReference r:id="rId5" w:type="default"/>
      <w:pgSz w:w="11906" w:h="16838"/>
      <w:pgMar w:top="851" w:right="851" w:bottom="851" w:left="851" w:header="113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right"/>
      <w:rPr>
        <w:b/>
        <w:sz w:val="24"/>
        <w:szCs w:val="24"/>
      </w:rPr>
    </w:pPr>
  </w:p>
  <w:p>
    <w:pPr>
      <w:pStyle w:val="3"/>
      <w:jc w:val="right"/>
      <w:rPr>
        <w:b/>
        <w:sz w:val="24"/>
        <w:szCs w:val="24"/>
      </w:rPr>
    </w:pPr>
  </w:p>
  <w:p>
    <w:pPr>
      <w:pStyle w:val="3"/>
      <w:jc w:val="right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34436532">
    <w:nsid w:val="557FC3B4"/>
    <w:multiLevelType w:val="singleLevel"/>
    <w:tmpl w:val="557FC3B4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344365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302"/>
    <w:rsid w:val="00861302"/>
    <w:rsid w:val="008C73B2"/>
    <w:rsid w:val="151F0EB5"/>
    <w:rsid w:val="2F724463"/>
    <w:rsid w:val="31964168"/>
    <w:rsid w:val="35CA164F"/>
    <w:rsid w:val="3C045F86"/>
    <w:rsid w:val="3DE35197"/>
    <w:rsid w:val="470B0E9D"/>
    <w:rsid w:val="48D86E8E"/>
    <w:rsid w:val="49756671"/>
    <w:rsid w:val="5A4D36B3"/>
    <w:rsid w:val="682063C1"/>
    <w:rsid w:val="74DB6E46"/>
    <w:rsid w:val="768E28ED"/>
    <w:rsid w:val="772D6395"/>
    <w:rsid w:val="7A1947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 w:val="0"/>
      <w:spacing w:before="340" w:beforeAutospacing="0" w:after="330" w:afterAutospacing="0" w:line="576" w:lineRule="auto"/>
      <w:ind w:left="0" w:right="0" w:firstLine="200" w:firstLineChars="200"/>
      <w:jc w:val="both"/>
      <w:outlineLvl w:val="0"/>
    </w:pPr>
    <w:rPr>
      <w:rFonts w:hint="default" w:ascii="Times New Roman" w:hAnsi="Times New Roman" w:eastAsia="黑体" w:cs="Times New Roman"/>
      <w:b/>
      <w:kern w:val="44"/>
      <w:sz w:val="32"/>
      <w:szCs w:val="4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1 Char"/>
    <w:basedOn w:val="5"/>
    <w:link w:val="2"/>
    <w:uiPriority w:val="0"/>
    <w:rPr>
      <w:rFonts w:hint="eastAsia" w:ascii="黑体" w:hAnsi="宋体" w:eastAsia="黑体" w:cs="黑体"/>
      <w:b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3</Pages>
  <Words>194</Words>
  <Characters>1108</Characters>
  <Lines>9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2015-04-21T02:30:00Z</dcterms:created>
  <dc:creator>CJ</dc:creator>
  <cp:lastModifiedBy>赵毅</cp:lastModifiedBy>
  <dcterms:modified xsi:type="dcterms:W3CDTF">2015-06-16T07:32:20Z</dcterms:modified>
  <dc:title>西南交通大学关于2015年度公开招聘应聘人员情况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